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3252_WPSOffice_Level1"/>
      <w:bookmarkStart w:id="1" w:name="_Toc12885919"/>
      <w:r>
        <w:rPr>
          <w:rFonts w:hint="eastAsia"/>
        </w:rPr>
        <w:t>江苏长江经济带研究院财务管理办法</w:t>
      </w:r>
      <w:bookmarkEnd w:id="0"/>
      <w:bookmarkEnd w:id="1"/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</w:rPr>
      </w:pPr>
      <w:r>
        <w:rPr>
          <w:rFonts w:ascii="宋体" w:hAnsi="宋体" w:cs="宋体"/>
          <w:color w:val="000000"/>
          <w:kern w:val="0"/>
          <w:sz w:val="28"/>
        </w:rPr>
        <w:t xml:space="preserve">    </w:t>
      </w:r>
      <w:bookmarkStart w:id="4" w:name="_GoBack"/>
      <w:bookmarkEnd w:id="4"/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一、严格执行学校有关的财务制度和专款专用的原则，并将执行的情况作为考核研究院院长的重要内容之一。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二、财务账目实行公开化，由院长定期向全体研究人员通报财务情况，接受各方的监督。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三、凡使用本院经费购置的图书资料、仪器设备等，需登记在册，作为本院财产，并交专人管理。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四、健全审批程序，做到任何一笔财务支出，都有相应的审核手续，以杜绝漏洞。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五、提倡厉行节约的原则，反对铺张浪费，以确保经费合理使用。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六、如发现有违反财务制度者，应及时向院长报告，以便加以纠正。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六、院长如有违反财务制度情况，一经发现，应向校领导及时报告，并给予相应的批评或处分。</w:t>
      </w:r>
    </w:p>
    <w:p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</w:t>
      </w:r>
    </w:p>
    <w:p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bookmarkStart w:id="2" w:name="_Toc25966_WPSOffice_Level1"/>
      <w:r>
        <w:rPr>
          <w:rFonts w:hint="eastAsia" w:ascii="宋体" w:hAnsi="宋体" w:cs="宋体"/>
          <w:color w:val="000000"/>
          <w:kern w:val="0"/>
          <w:sz w:val="28"/>
          <w:szCs w:val="28"/>
        </w:rPr>
        <w:t>江苏长江经济带研究院</w:t>
      </w:r>
      <w:bookmarkEnd w:id="2"/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                                                 </w:t>
      </w:r>
      <w:bookmarkStart w:id="3" w:name="_Toc7929_WPSOffice_Level1"/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2015年3月</w:t>
      </w:r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9F5A75"/>
    <w:rsid w:val="BA9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Office_1.5.1.2195_F1E327BC-269C-435d-A152-05C5408002CA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2019-12-31T15:51:00Z</dcterms:created>
  <dc:creator>houxiaofeng</dc:creator>
  <cp:lastModifiedBy>houxiaofeng</cp:lastModifiedBy>
  <dcterms:modified xsi:type="dcterms:W3CDTF">2019-12-31T15:52:39Z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